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0" w:beforeAutospacing="0" w:after="0" w:afterAutospacing="0" w:line="540" w:lineRule="exact"/>
        <w:jc w:val="both"/>
        <w:textAlignment w:val="baseline"/>
        <w:rPr>
          <w:rStyle w:val="5"/>
          <w:rFonts w:ascii="黑体" w:hAnsi="黑体" w:eastAsia="黑体"/>
          <w:b w:val="0"/>
          <w:i w:val="0"/>
          <w:caps w:val="0"/>
          <w:color w:val="000000"/>
          <w:spacing w:val="0"/>
          <w:w w:val="100"/>
          <w:kern w:val="2"/>
          <w:sz w:val="32"/>
          <w:szCs w:val="32"/>
          <w:lang w:val="en-US" w:eastAsia="zh-CN" w:bidi="ar-SA"/>
        </w:rPr>
      </w:pPr>
      <w:r>
        <w:rPr>
          <w:rStyle w:val="5"/>
          <w:rFonts w:ascii="黑体" w:hAnsi="黑体" w:eastAsia="黑体"/>
          <w:b w:val="0"/>
          <w:i w:val="0"/>
          <w:caps w:val="0"/>
          <w:color w:val="000000"/>
          <w:spacing w:val="0"/>
          <w:w w:val="100"/>
          <w:kern w:val="2"/>
          <w:sz w:val="32"/>
          <w:szCs w:val="32"/>
          <w:lang w:val="en-US" w:eastAsia="zh-CN" w:bidi="ar-SA"/>
        </w:rPr>
        <w:t>附件1</w:t>
      </w:r>
    </w:p>
    <w:p>
      <w:pPr>
        <w:snapToGrid w:val="0"/>
        <w:spacing w:before="0" w:beforeAutospacing="0" w:after="0" w:afterAutospacing="0" w:line="540" w:lineRule="exact"/>
        <w:jc w:val="center"/>
        <w:textAlignment w:val="baseline"/>
        <w:rPr>
          <w:rStyle w:val="5"/>
          <w:rFonts w:ascii="方正小标宋简体" w:hAnsi="方正小标宋简体" w:eastAsia="方正小标宋简体"/>
          <w:b w:val="0"/>
          <w:i w:val="0"/>
          <w:caps w:val="0"/>
          <w:spacing w:val="0"/>
          <w:w w:val="100"/>
          <w:kern w:val="2"/>
          <w:sz w:val="36"/>
          <w:szCs w:val="36"/>
          <w:lang w:val="en-US" w:eastAsia="zh-CN" w:bidi="ar-SA"/>
        </w:rPr>
      </w:pPr>
    </w:p>
    <w:p>
      <w:pPr>
        <w:snapToGrid w:val="0"/>
        <w:spacing w:before="0" w:beforeAutospacing="0" w:after="0" w:afterAutospacing="0" w:line="460" w:lineRule="exact"/>
        <w:ind w:left="0" w:leftChars="0" w:right="0" w:firstLineChars="0"/>
        <w:jc w:val="center"/>
        <w:textAlignment w:val="baseline"/>
        <w:rPr>
          <w:rStyle w:val="5"/>
          <w:rFonts w:ascii="方正小标宋_GBK" w:hAnsi="方正小标宋_GBK" w:eastAsia="方正小标宋_GBK"/>
          <w:b w:val="0"/>
          <w:i w:val="0"/>
          <w:caps w:val="0"/>
          <w:spacing w:val="0"/>
          <w:w w:val="100"/>
          <w:kern w:val="2"/>
          <w:sz w:val="44"/>
          <w:szCs w:val="44"/>
          <w:lang w:val="en-US" w:eastAsia="zh-CN" w:bidi="ar-SA"/>
        </w:rPr>
      </w:pPr>
      <w:bookmarkStart w:id="0" w:name="_GoBack"/>
      <w:r>
        <w:rPr>
          <w:rStyle w:val="5"/>
          <w:rFonts w:ascii="方正小标宋_GBK" w:hAnsi="方正小标宋_GBK" w:eastAsia="方正小标宋_GBK"/>
          <w:b w:val="0"/>
          <w:i w:val="0"/>
          <w:caps w:val="0"/>
          <w:spacing w:val="0"/>
          <w:w w:val="100"/>
          <w:kern w:val="2"/>
          <w:sz w:val="44"/>
          <w:szCs w:val="44"/>
          <w:lang w:val="en-US" w:eastAsia="zh-CN" w:bidi="ar-SA"/>
        </w:rPr>
        <w:t>山西省信访系统先进集体拟表彰名单</w:t>
      </w:r>
    </w:p>
    <w:bookmarkEnd w:id="0"/>
    <w:p>
      <w:pPr>
        <w:snapToGrid w:val="0"/>
        <w:spacing w:before="0" w:beforeAutospacing="0" w:after="0" w:afterAutospacing="0" w:line="460" w:lineRule="exact"/>
        <w:ind w:left="0" w:leftChars="0" w:right="0" w:firstLineChars="0"/>
        <w:jc w:val="center"/>
        <w:textAlignment w:val="baseline"/>
        <w:rPr>
          <w:rStyle w:val="5"/>
          <w:rFonts w:ascii="楷体" w:hAnsi="楷体" w:eastAsia="楷体"/>
          <w:b w:val="0"/>
          <w:i w:val="0"/>
          <w:caps w:val="0"/>
          <w:spacing w:val="0"/>
          <w:w w:val="100"/>
          <w:kern w:val="2"/>
          <w:sz w:val="36"/>
          <w:szCs w:val="36"/>
          <w:lang w:val="en-US" w:eastAsia="zh-CN" w:bidi="ar-SA"/>
        </w:rPr>
      </w:pPr>
      <w:r>
        <w:rPr>
          <w:rStyle w:val="5"/>
          <w:rFonts w:ascii="楷体" w:hAnsi="楷体" w:eastAsia="楷体"/>
          <w:b w:val="0"/>
          <w:i w:val="0"/>
          <w:caps w:val="0"/>
          <w:spacing w:val="0"/>
          <w:w w:val="100"/>
          <w:kern w:val="2"/>
          <w:sz w:val="36"/>
          <w:szCs w:val="36"/>
          <w:lang w:val="en-US" w:eastAsia="zh-CN" w:bidi="ar-SA"/>
        </w:rPr>
        <w:t>（共33个）</w:t>
      </w:r>
    </w:p>
    <w:p>
      <w:pPr>
        <w:pStyle w:val="6"/>
        <w:snapToGrid/>
        <w:spacing w:before="0" w:beforeAutospacing="1" w:after="0" w:afterAutospacing="1" w:line="460" w:lineRule="exact"/>
        <w:ind w:left="0" w:leftChars="0" w:right="0" w:firstLineChars="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0" w:beforeAutospacing="1" w:after="0" w:afterAutospacing="1" w:line="46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太 原 市</w:t>
      </w: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太原市信访局接待一科</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信访局接待一科充分发挥了“党建引领业务”的关键性作用。党员干部坚强有力，团结协作，机构健全，制度完善,以“门好进、脸好看、话好听、事好办”的四好标准，通过线上积极推动和线下高位协调相结合等方式积极帮助来访群众现场或跟踪解决了1000多件疑难复杂、热点难点的信访问题。2018年-2022年共接待来访群众13129批次，44255人次，最大限度地化解了当前存在的群众最为关切的热点、难点和焦点问题。</w:t>
      </w:r>
    </w:p>
    <w:p>
      <w:pPr>
        <w:snapToGrid w:val="0"/>
        <w:spacing w:before="0" w:beforeAutospacing="0" w:after="0" w:afterAutospacing="0" w:line="540" w:lineRule="exact"/>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太原市中级人民法院立案二庭</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中级人民法院中院立案二庭多年来，始终围绕“努力让人民群众在每一个司法案件中感受到公平正义”目标，坚持“人民信访为人民”的工作理念，聚焦群众申诉信访难点，严格诉访分离、规范流程、细化节点，坚持党建引领一条主线，创新七措并举闭环管理信访工作模式，架起密切党群关系的“连心桥”，建好信访矛盾纠纷的“化解站”，切实让群众感受到诉求有人理、事情有人办、处理有结果，多次收到群众感谢信、锦旗，得到了群众的充分肯定。</w:t>
      </w:r>
    </w:p>
    <w:p>
      <w:pPr>
        <w:snapToGrid w:val="0"/>
        <w:spacing w:before="0" w:beforeAutospacing="0" w:after="0" w:afterAutospacing="0" w:line="540" w:lineRule="exact"/>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大 同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大同市信访局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大同市信访局坚持人民至上，稳字当头，全市信访形势呈现“网升访降”态势，网上信访“主渠道”成效明显。始终围绕加强和改进信访基层治理、化解信访积案，压实工作责任等，坚持抓重点、补短板、创特色、当标杆,切实提升工作水平,维护群众合法权益。近期，在全市范围内开展社会矛盾纠纷排查活动，共排查出各类矛盾纠纷5852件，已化解5641件，化解率96.39%。构建信访和公安信息共享、协同处置的工作模式，完善重要敏感信访信息“内外联动、上下互动、左右协调”的通报处置工作机制，实行每日“信访动态”报告，为完成全市信访工作提供了有力保障。</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大同市云州区信访局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大同市云州区信访局聚焦信访问题，创新推行“三四三”信访工作法，即，专题研究、专策应对、专人负责的“三专”机制，变被动接访为主动迎访、变群众上访为领导下访、变一局受理为多方化解、变常规推动为激励办法的“四变”方法，注重提升信访窗口形象、矛盾纠纷排查力度、信访积案化解“清仓”力度的“三个”提升，不断深化信访工作制度改革和机制创新，严格落实信访责任具体化、账目清单化，信访工作连续两年在大同市专项考核中排名第一，被山西省信访工作联席会议办公室通报表扬为“突出贡献单位”。中央信访联席会议交办的第一批集中治理重复访、化解信访积案58件，化解58件，化解率100%。</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朔 州 市</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朔州市信访局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朔州市信访局牢记“为民解难、为党分忧”的职责使命，以服务保障党的二十大为主线，进一步建立完善信访工作机制，深入化解信访突出问题，在全国、全省“两会”等重大活动和重要时间节点期间实现了“确保三个不发生”和进京“零涉访”，强力推进了“重复信访治理、化解信访积案”专项工作，中央交办第二批信访积案176件实现了任务“清零”，化解率100%。朔州市信访形势持续平稳向好，总体信访工作保持了可喜局面，为助力朔州市打造“四大高地”建设现代化塞上绿都作出了积极贡献。</w:t>
      </w:r>
    </w:p>
    <w:p>
      <w:pPr>
        <w:pStyle w:val="6"/>
        <w:widowControl/>
        <w:snapToGrid/>
        <w:spacing w:before="312" w:beforeAutospacing="1" w:after="312" w:afterAutospacing="1" w:line="240" w:lineRule="auto"/>
        <w:jc w:val="left"/>
        <w:textAlignment w:val="baseline"/>
        <w:rPr>
          <w:rStyle w:val="5"/>
          <w:rFonts w:ascii="宋体" w:hAnsi="宋体" w:eastAsia="宋体"/>
          <w:b/>
          <w:i w:val="0"/>
          <w:caps w:val="0"/>
          <w:spacing w:val="0"/>
          <w:w w:val="100"/>
          <w:kern w:val="0"/>
          <w:sz w:val="27"/>
          <w:szCs w:val="27"/>
          <w:lang w:val="en-US" w:eastAsia="zh-CN"/>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忻 州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忻州市信访局信访工作总体考核连续多年位居全省第一方阵。注重信访法治宣传教育，采取信访权利义务必告知、信访法律法规必明释的“两必”宣传方式，引导群众依法逐级走访，信访秩序更加规范，信访渠道更加畅通，进京赴省上访态势逐年好转。有力地推动了546件疑难复杂信访事项的化解；出台的《忻州市乡镇级信访考评管理办法》，将越级访责任下沉到乡镇一级，从制度上严格规范信访秩序，锻造“信访工作铁军”。</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忻州市神池县信访局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神池县信访局抓好“五项重点任务”，认真开展“三项活动”，推动神池县信访工作高质高效发展，实现了关键节点“零涉访”和“三个不发生”工作目标。根据群众信访问题类别，组建了13个听证专家库，增设8个乡镇信访接待室，覆盖城乡建设、三农问题等13个方面。充分利用基层网格，以村（社区）党支部为单元，建立63个工作网络、设置网格长122名，专兼职网格员144名，辅助网格员160名，全面承担矛盾纠纷调处社会治理。</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忻州市公安局信访处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忻州市公安局信访处始终把解决信访问题与践行执法为民紧密结合起来，努力追求法律效果与社会效果统一。以“控新治旧”为主线，全面挂图作战，压实领导责任，实现多部门联动，最终形成合力，推动信访事项得以解决。紧紧围绕七个到位，即组织领导到位、工作措施到位、责任落实到位、解决问题到位、帮扶救助到位、教育稳控到位、依法打击到位等内容，每日盯办、每日研究，清单式推进，因工作方法得当，工作措施有效，全市公安机关信访工作成效显著。</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吕 梁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吕梁市中阳县信访局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中阳县信访局形成了“日提醒、周调度、月研判”、“全科网格治理”、公职律师“全流程参与”等一系列中阳特色的新时代信访工作模式。全县信访总量、赴省进京走访量实现五年双连降，并积极响应上级号召，选派332名懂农村事、知农村情、听农民声，能够“脚踩泥土”“深入垄沟”的“人民接访员”，实现涉农领域信访矛盾总量、占比“双下降”。开展重点领域信访突出问题专项治理，推动解决“搬迁入住难”问题209户、“企业改制养老难”问题317人，一大批群众反映强烈的急难愁盼问题得到妥善化解。</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吕梁市交城县信访局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交城县信访局坚持和加强党对信访工作的全面领导，围绕“清仓见底、控新治旧、降量退位”的工作目标，坚决扛起“为民解难、为党分忧”的政治责任，打好“优势牌”，始终保持争先进位的干劲；打好“服务牌”，扎实推进“三级书记”入户走访工作；打好“机制牌”，在全县各乡镇推广人民接访员制度，切实解决了群众关心的问题，化解了一大批疑难信访事项，信访工作持续向好，重大活动及敏感时间节点期间安全保障工作成绩突出、全面高效、成效明显，为交城县经济社会高质量发展营造了一个良好的社会环境。</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晋 中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firstLineChars="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晋中市祁县信访局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祁县信访局以加快推进“六县建设”为目标，坚定不移推进党的建设，扎实开展重大节点信访保障、强力推进信访积案化解专项工作、深化信访制度改革、坚持信访事项“控新治旧”、提升“三率”指标和创建信访工作示范县等七项重点任务，推动全县信访秩序持续向好。中央联席会议办公室第一批、第二批交办的信访积案均已上报审核化解，审核化解率达到100%。同时主动防范化解各类涉访风险隐患，排查化解各类矛盾纠纷212件，化解率100%，努力营造和谐稳定的社会环境。</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晋中市劳动保障监察综合行政执法队</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晋中市劳动保障监察综合行政执法队坚持以人民为中心的发展思想，严格落实部省市关于农民工工资工作的部署要求，采取“日清周结月汇报”督查方式和实施“一周两调度”的通报方式，对治欠工作每日检点、每周排队、每月汇报,找准存在症结,坚持标本兼治,压实各方责任,全面查缺补漏、跟进检点落实,确保根治欠薪工作收到实效、任务圆满完成。创新构建和谐劳动关系，创新工作手段和方式方法，将所有劳动监察工作关口前移，主动服务，把工作重点由管理转向服务，由事后监督转为事前预防。2021年，晋中市各级劳动保障监察机构共检查用人单位2305户；补签劳动合同341人，建立完善了209个在建工程项目台账，切实将欠薪隐患风险化解在萌芽状态。</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阳 泉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阳泉市信访局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阳泉市信访局的信访工作考核连续6年保持全省前列。立足解决群众急难愁盼，着力深化改革创新，取得了“三保持三明显”的实绩实效。2019年，中央信访工作联席会议《简报》（第159期）专题刊发《突出依法及时就地，聚焦解决信访问题——山西阳泉市积极探索实践让群众“最多访一次”》，向中央信访工作联席会议成员单位，各省（区、市）及计划单列市信访工作联席会议推广阳泉市让群众“最多访一次”做法。2021年，省联席会议在全省推广了阳泉市“信访代理员”工作经验和做法。</w:t>
      </w:r>
    </w:p>
    <w:p>
      <w:pPr>
        <w:pStyle w:val="6"/>
        <w:snapToGrid/>
        <w:spacing w:before="0" w:beforeAutospacing="1" w:after="0" w:afterAutospacing="1" w:line="52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长 治 市</w:t>
      </w:r>
    </w:p>
    <w:p>
      <w:pPr>
        <w:snapToGrid/>
        <w:spacing w:before="0" w:beforeAutospacing="0" w:after="0" w:afterAutospacing="0" w:line="52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长治市信访局聚焦新时代新要求，推动出台长治市《深入开展信访工作规范化建设指导意见（试行）》，创新制定符合新时代要求和长治实际的信访工作规范标准，针对“三到位一处理”，明确18条具体要求。认真落实领导干部“两访一包”制度，今年，市县两级领导领办疑难信访事项常态机制246件。扎实开展信访积案化解攻坚，深入推进信访矛盾源头治理和信访问题“控新治旧”，着力在体制机制上探索创新信访工作规范化建设长治模式，创新打造市县乡村四级矛盾纠纷多元化解平台，不断创新为民服务新成效，全市信访形势和信访秩序平稳向好，有力服务全方位推动高质量发展。</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长治市黎城县信访局</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黎城县信访局坚持处级领导接访制度化、领导包处重点信访事项清单化、处级领导下访常态化、信访工作法制宣传广泛化“四化”工作法，全力推进基层信访事项化解。全县信访总量、越访呈逐年下降态势，重复信访事项大幅减少，重要节点、重大活动秩序良好，为维护群众合法权益、维护社会和谐稳定做出了积极贡献。2020年、2021年连续2年在长治市对县信访工作专项考核中位列优秀等次；2021年5月，国家信访局授予长治市黎城县信访工作“三无”县荣誉称号。</w:t>
      </w:r>
    </w:p>
    <w:p>
      <w:pPr>
        <w:snapToGrid/>
        <w:spacing w:before="0" w:beforeAutospacing="0" w:after="0" w:afterAutospacing="0" w:line="580" w:lineRule="exact"/>
        <w:ind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spacing w:before="0" w:beforeAutospacing="0" w:after="0" w:afterAutospacing="0" w:line="580" w:lineRule="exact"/>
        <w:ind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长治市武乡县信访局</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近年来，武乡县信访局认真学习贯彻习近平总书记关于信访工作的重要指示和第九次全国信访工作会议精神，坚持党建引领，强化思想政治建设和信访工作队伍建设，以《信访工作条例》宣传贯彻为契机，以信访工作示范县创建为抓手，结合“大督查大接访大调研”专项活动、信访基础业务规范化建设等重点工作，深入推进治理重复信访、化解信访积案专项工作，以“时时放心不下”的责任感，扎实开展矛盾纠纷排查和信访积案化解工作，全力提升群众诉求办理效率和质量，着力促进社会和谐稳定。一是信访总量逐年下降；二是重要节点信访安全保障任务圆满完成；三是“集中治理重复信访、化解信访积案”专项工作成效显著，上级交办案件全部化解完成；四是信访工作规范化建设持续推进；五是信访渠道不断完善畅通；六是坚持和发展新时代“枫桥经验”，90%矛盾纠纷化解在了镇村一线。全县信访形势持续向好，总体平稳可控。</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晋 城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晋城市信访局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晋城市信访局坚持党建引领，落实信访稳定“5+1”责任制，强化领导包案和接访下访工作，推动“四级书记”抓信访；夯实基层基础，采取“七步跟进督办法”和“三色预警法”，提升信访事项办理质效，连续两年实现全市信访部门及时受理率、责任单位及时受理率、按期答复率三个100%，连续三年荣获全省信访工作考核优秀等次，连续三年获晋城市目标责任考核优秀单位，为全方位推动高质量发展建设共同富裕新晋城作出了突出贡献。</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临 汾 市</w:t>
      </w:r>
    </w:p>
    <w:p>
      <w:pPr>
        <w:snapToGrid/>
        <w:spacing w:before="0" w:beforeAutospacing="0" w:after="0" w:afterAutospacing="0" w:line="580" w:lineRule="exact"/>
        <w:ind w:left="0" w:leftChars="0" w:right="0" w:firstLineChars="0"/>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临汾市信访局深入推进信访工作制度改革，推动信访工作在2021年取得全省考核第一的优异成绩。全市157个乡镇（街道）全部建立了信访工作联席会议机制，应急处置的信访矛盾综合治理机制构建持续加快。吉县、古县、隰县相继荣获全国信访工作三无县、示范县称号。采取“八个了”工作法，即接了、记了、分了、问了、担了、定了、办了、了了，实现信访件流转可查询、处置可监督、结果可追溯，形成上下联动、一贯到底的信访工作闭环管理机制。</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临汾市洪洞县信访局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洪洞县信访局本着“务实、高效、科学、有力”的原则，规范各级接待场所走访工作流程，紧扣登记、接谈、转送、盯办、督办五个工作环节，对信访事项跟踪督办，通过电话询问、发函提醒、实地督导等方式，严格落实首办责任制，谁接访、谁跟办，及时了解责任单位办理信访事项进展情况，紧盯不放、一盯到底，直至问题解决，并要求责任单位将处理结果反馈答复信访群众。形成工作合力，实现全县信访系统“一盘棋”的良好局面。</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临汾市公安局直属分局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临汾市公安局直属分局，深入开展信访积案化解行动、信访领域风险隐患大排查大起底大化解专项行动，大力加强矛盾纠纷排查化解机制，落实重点群体和重点人员教育稳控措施，及时有效解决公安信访问题，完成信访案（事）件1119起，协助相关部门妥善处置市委、市政府、市纪委大门口群体性上访事件500余起，使信访案件解决在基层，为维护全市和谐稳定的政治社会环境做出积极贡献。</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运城市</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运城市垣曲县信访局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垣曲县信访局切实履行化解信访突出问题、维护群众合法权益、促进社会和谐稳定的职责使命，全县信访形势持续向好，实现了四个百分之百目标（即信访事项及时受理率100%，信访事项按期办结率100%，排查的信访矛盾纠纷化解率100%，国家、省、市第一批、第二批交办的重复信访案件化解汇报率100%），全县信访工作被运城市信访工作联席办评为优秀档次，集中治理重复信访、化解信访积案专项工作中作为“突出贡献单位”。</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运城市稷山县信访局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稷山县信访局强化源头治理，紧盯积案化解，接访处访工作质效大幅度提高，信访积案化解和重复访治理成效明显、预警处置和源头治理能力显著提高，全县连续多年实现赴京“零非访”、赴省“零群访”、很少“越级访”的工作目标，信访工作总体形势平稳向好。全县总结推广的《把好五关抓信访，矛盾化解在基层》经验做法在《山西信访》经验交流栏目长篇刊登，并在全省推广。“多位一体联合办案，集中力量攻坚克难”的经验做法在全国《人民信访》杂志刊登推广。</w:t>
      </w:r>
    </w:p>
    <w:p>
      <w:pPr>
        <w:snapToGrid w:val="0"/>
        <w:spacing w:before="0" w:beforeAutospacing="0" w:after="0" w:afterAutospacing="0" w:line="580" w:lineRule="exact"/>
        <w:ind w:left="0" w:leftChars="0" w:right="0"/>
        <w:jc w:val="center"/>
        <w:textAlignment w:val="baseline"/>
        <w:rPr>
          <w:rStyle w:val="5"/>
          <w:rFonts w:ascii="仿宋_GB2312" w:hAnsi="仿宋_GB2312" w:eastAsia="仿宋_GB2312"/>
          <w:b w:val="0"/>
          <w:i w:val="0"/>
          <w:caps w:val="0"/>
          <w:spacing w:val="0"/>
          <w:w w:val="100"/>
          <w:kern w:val="2"/>
          <w:sz w:val="32"/>
          <w:szCs w:val="32"/>
          <w:lang w:val="en-US" w:eastAsia="zh-CN" w:bidi="ar-SA"/>
        </w:rPr>
      </w:pPr>
    </w:p>
    <w:p>
      <w:pPr>
        <w:pStyle w:val="6"/>
        <w:snapToGrid/>
        <w:spacing w:before="312" w:beforeAutospacing="1" w:after="312" w:afterAutospacing="1" w:line="580" w:lineRule="exact"/>
        <w:ind w:left="0" w:leftChars="0" w:right="0" w:firstLineChars="0"/>
        <w:jc w:val="center"/>
        <w:textAlignment w:val="baseline"/>
        <w:rPr>
          <w:rStyle w:val="5"/>
          <w:rFonts w:ascii="楷体" w:hAnsi="楷体" w:eastAsia="楷体"/>
          <w:b w:val="0"/>
          <w:bCs w:val="0"/>
          <w:i w:val="0"/>
          <w:caps w:val="0"/>
          <w:color w:val="000000"/>
          <w:spacing w:val="0"/>
          <w:w w:val="100"/>
          <w:kern w:val="2"/>
          <w:sz w:val="36"/>
          <w:szCs w:val="36"/>
          <w:lang w:val="en-US" w:eastAsia="zh-CN" w:bidi="ar-SA"/>
        </w:rPr>
      </w:pPr>
      <w:r>
        <w:rPr>
          <w:rStyle w:val="5"/>
          <w:rFonts w:ascii="楷体" w:hAnsi="楷体" w:eastAsia="楷体"/>
          <w:b w:val="0"/>
          <w:bCs w:val="0"/>
          <w:i w:val="0"/>
          <w:caps w:val="0"/>
          <w:color w:val="000000"/>
          <w:spacing w:val="0"/>
          <w:w w:val="100"/>
          <w:kern w:val="2"/>
          <w:sz w:val="36"/>
          <w:szCs w:val="36"/>
          <w:lang w:val="en-US" w:eastAsia="zh-CN" w:bidi="ar-SA"/>
        </w:rPr>
        <w:t>省 直 单 位</w:t>
      </w: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4"/>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山西省政协办公厅信访处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政协办公厅信访处圆满完成了全省“两会”和历次常委会期间信访任务、省政协庆祝建党100周年信访安全保障工作任务。总结“三个结合三个确保”的工作方法，一是会上与会下相结合，基本上做到了早发现、早处置，防患于未然；二是会前会中巡查与全天值班相结合，确保会场和委员驻地安全稳定；三是及时疏散与快速应急相结合，确保周围环境秩序井然。没有出现任何纰漏，没有造成任何不良影响。</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山西省委政法委案件督办处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委政法委案件督办处对重点案件进行督办、转办，对群众反映强烈的信件及时转办，探索开发全省涉法涉诉案件信息化管理平台，多措并举凝聚依法治访工作合力。围绕全国“两会”、党的二十大等重要时间节点，进一步贯彻落实中央政法委在政法工作中做好“三同步”工作的要求，在重大敏感案事件的应对处置中，牢牢把握主动权主导权，全力推动全省涉法涉诉信访工作，忠诚履职尽责，积极担当作为，为推动高质量发展营造良好社会环境作出贡献。</w:t>
      </w:r>
    </w:p>
    <w:p>
      <w:pPr>
        <w:snapToGrid w:val="0"/>
        <w:spacing w:before="0" w:beforeAutospacing="0" w:after="0" w:afterAutospacing="0" w:line="580" w:lineRule="exact"/>
        <w:ind w:right="0"/>
        <w:jc w:val="left"/>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p>
    <w:p>
      <w:pPr>
        <w:snapToGrid w:val="0"/>
        <w:spacing w:before="0" w:beforeAutospacing="0" w:after="0" w:afterAutospacing="0" w:line="580" w:lineRule="exact"/>
        <w:ind w:right="0"/>
        <w:jc w:val="left"/>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 xml:space="preserve">山西省公安厅信访处 </w:t>
      </w:r>
      <w:r>
        <w:rPr>
          <w:rStyle w:val="5"/>
          <w:rFonts w:ascii="仿宋_GB2312" w:hAnsi="仿宋_GB2312" w:eastAsia="仿宋_GB2312"/>
          <w:b w:val="0"/>
          <w:bCs w:val="0"/>
          <w:i w:val="0"/>
          <w:caps w:val="0"/>
          <w:color w:val="000000"/>
          <w:spacing w:val="0"/>
          <w:w w:val="100"/>
          <w:kern w:val="2"/>
          <w:sz w:val="32"/>
          <w:szCs w:val="32"/>
          <w:lang w:val="en-US" w:eastAsia="zh-CN" w:bidi="ar-SA"/>
        </w:rPr>
        <w:t xml:space="preserve">                                </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近年来，省公安厅信访处全面贯彻习近平总书记关于加强和改进人民信访工作的重要思想，在厅党委的坚强领导下，在公安部督察审计局、省信访局的精心指导下，着力“减存量、控增量、防变量、提质量”，全警动员、迎难而上、真抓实干、攻坚克难，山西公安信访工作迈入了全国前列，得到了公安部、省信访局的充分肯定。一是全面加强初信初访办理。压实主体责任，以“最多访一次”、易事快办、急事急办、特事特办的标准，积极办理群众赴部到省走访事项，办结率达97.4%。二是认真组织开展信访积案攻坚化解专项工作。公安部交办我省2784起疑难信访案件，化解2782起，化解率99.92%，位居全国前列；公安部第二批挂牌整治的我省937起疑难信访案件已全部清零、33个县（市、区）全部摘牌退出；公安部第三批挂牌整治的单位无我省相关县（市、区）。三是全力做好重要敏感时期信访安全保障工作。重要敏感时期启动战时管控机制，对可能赴省进京的集体访、极端访，严格落实属地稳控责任和源头稳控措施，做到盯死看牢，严防漏管失控，实现了“六个确保、三个防止”工作目标。</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山西省司法厅办公室（信访处）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司法厅办公室（信访处）坚决扛起信访稳定的重大责任，确保了该系统三年来无进京非访登记，未出现群体性事件、涉访极端事件和舆情炒作事件。全面开展“大督查大接访大调研活动”，落实领导包案，狠抓信访矛盾源头治理，全力保障信访安全稳定。多次组织召开专题会议，研究重要信访事项，圆满完成中央信访联席办交办的重复信访事项上报化解工作。积极探索律师参与涉法涉诉信访新举措。</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山西省农业农村厅办公室</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农业农村厅自集中治理重复信访、化解信访积案专项工作开展以来，加强与相关成员单位沟通协调，对接属地有关单位，合力高质高效化解信访积案交办件。先后制定了《山西省农业厅信访工作责任制》等制度办法。近几年共接待农业农村领域来访群众2373人次，化解信访难题10115件。农业农村领域信访量逐年下降，农民群众满意度普遍提升。</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山西省退役军人事务厅思想政治和权益维护处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退役军人事务厅思想政治和权益维护处始终树立以退役军人为中心的理念，坚决维护退役军人合法权益。2021年进京访数量由2020年第三位退至第十八位，2022年省信访局交办重复信访积案，100%化解到位，赴省信访总量大幅度减少。近对符合政策的历史遗留问题积极协调，不放弃、不推诿，成功解决历史遗留问题10余件，受到退役军人及其家属一致好评。全省县级以上退役军人事务部门均建立信访接待大厅，配齐信访接待人员，为退役军人反映问题、沟通交流搭建桥梁纽带。</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山西省国资委信访综合处</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国资委信访综合处着眼“控增减存防变”，对标“三个不发生”目标，努力攻坚克难，用心用情躬身实践为群众办实事。共审核办理转送案件7553件，交办案件590件，督办案件259件，接待群众走访1106批、6148人次，承办12345热线事项4000余条，按期答复率、办结率均实现100%，以省属企业稳助力全省稳，全省信访工作年度专项考核持续保持“优秀”等次，10余次受到省信访联席办、省人大常委会通报表扬。</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山西省总工会职工服务中心</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总工会职工服务中心按照“三到位一处理”的指导方针和工作要求，构建工会信访工作体系，综合利用12351职工服务热线、信访接待窗口、法律咨询窗口、舆情监测等平台资源，监测劳动关系风险隐患，快速有效掌控苗头性、倾向性信息，跟踪干预，及时处置，维护职工合法权益。从2018年开始，在全省工会系统建立了100家省级职工心理健康咨询示范基地，初步建成我省工会系统的心理健康服务体系。</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山西省信访局驻京信访处</w:t>
      </w:r>
    </w:p>
    <w:p>
      <w:pPr>
        <w:snapToGrid/>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省信访局驻京信访处认真贯彻落实省委省政府决策部署，统筹推进疫情防控和驻京信访安全保障工作，推动山西驻京信访工作进入全国第一方阵，彰显了山西担当。先后被授予“全省先进基层党组织”“平安山西建设先进集体”等光荣称号。坚持深度推进党建与业务融合，打造了一支政治、责任、作风、能力“四过硬”的驻京信访干部队伍。创建“1小时到位、3小时劝离”、法治宣传和谈话登记、闭环管理等多项工作机制，推送督办化解进京涉访事项1840余件次。多次受到中央信访联席会议、国家信访局表扬。</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太原市公安局迎泽分局劲松派出所</w:t>
      </w:r>
    </w:p>
    <w:p>
      <w:pPr>
        <w:snapToGrid w:val="0"/>
        <w:spacing w:before="0" w:beforeAutospacing="0" w:after="0" w:afterAutospacing="0" w:line="580" w:lineRule="exact"/>
        <w:ind w:left="0" w:leftChars="0" w:right="0" w:firstLine="640" w:firstLineChars="20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r>
        <w:rPr>
          <w:rStyle w:val="5"/>
          <w:rFonts w:ascii="仿宋_GB2312" w:hAnsi="仿宋_GB2312" w:eastAsia="仿宋_GB2312"/>
          <w:b w:val="0"/>
          <w:bCs w:val="0"/>
          <w:i w:val="0"/>
          <w:caps w:val="0"/>
          <w:color w:val="000000"/>
          <w:spacing w:val="0"/>
          <w:w w:val="100"/>
          <w:kern w:val="2"/>
          <w:sz w:val="32"/>
          <w:szCs w:val="32"/>
          <w:lang w:val="en-US" w:eastAsia="zh-CN" w:bidi="ar-SA"/>
        </w:rPr>
        <w:t>太原市公安局迎泽分局劲松派出所始终把“对党忠诚、服务人民、执法公正、纪律严明”的总要求作为建警治警的总方略，以维护政治安全和信访维稳秩序工作为重点，有效维护党政机关及周边的安全稳定。在省信访局一处维持群体信访秩序354批次，8351人次，未发生有影响的案事件，未发生引发媒体炒作的舆情，收缴标语横幅35条，处置极端上访6例，有力保障了信访接待场所秩序。</w:t>
      </w: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b w:val="0"/>
          <w:bCs w:val="0"/>
          <w:i w:val="0"/>
          <w:caps w:val="0"/>
          <w:color w:val="000000"/>
          <w:spacing w:val="0"/>
          <w:w w:val="100"/>
          <w:kern w:val="2"/>
          <w:sz w:val="32"/>
          <w:szCs w:val="32"/>
          <w:lang w:val="en-US" w:eastAsia="zh-CN" w:bidi="ar-SA"/>
        </w:rPr>
      </w:pPr>
    </w:p>
    <w:p>
      <w:pPr>
        <w:snapToGrid w:val="0"/>
        <w:spacing w:before="0" w:beforeAutospacing="0" w:after="0" w:afterAutospacing="0" w:line="580" w:lineRule="exact"/>
        <w:ind w:left="0" w:leftChars="0" w:right="0"/>
        <w:jc w:val="both"/>
        <w:textAlignment w:val="baseline"/>
        <w:rPr>
          <w:rStyle w:val="5"/>
          <w:rFonts w:ascii="仿宋_GB2312" w:hAnsi="仿宋_GB2312" w:eastAsia="仿宋_GB2312" w:cs="仿宋_GB2312"/>
          <w:b/>
          <w:bCs/>
          <w:i w:val="0"/>
          <w:caps w:val="0"/>
          <w:color w:val="000000"/>
          <w:spacing w:val="0"/>
          <w:w w:val="100"/>
          <w:kern w:val="2"/>
          <w:sz w:val="32"/>
          <w:szCs w:val="32"/>
          <w:lang w:val="en-US" w:eastAsia="zh-CN" w:bidi="ar-SA"/>
        </w:rPr>
      </w:pPr>
      <w:r>
        <w:rPr>
          <w:rStyle w:val="5"/>
          <w:rFonts w:ascii="仿宋_GB2312" w:hAnsi="仿宋_GB2312" w:eastAsia="仿宋_GB2312" w:cs="仿宋_GB2312"/>
          <w:b/>
          <w:bCs/>
          <w:i w:val="0"/>
          <w:caps w:val="0"/>
          <w:color w:val="000000"/>
          <w:spacing w:val="0"/>
          <w:w w:val="100"/>
          <w:kern w:val="2"/>
          <w:sz w:val="32"/>
          <w:szCs w:val="32"/>
          <w:lang w:val="en-US" w:eastAsia="zh-CN" w:bidi="ar-SA"/>
        </w:rPr>
        <w:t>太原市公安局小店分局梅山派出所</w:t>
      </w:r>
    </w:p>
    <w:p>
      <w:pPr>
        <w:snapToGrid w:val="0"/>
        <w:spacing w:before="0" w:beforeAutospacing="0" w:after="0" w:afterAutospacing="0" w:line="580" w:lineRule="exact"/>
        <w:ind w:left="0" w:leftChars="0" w:right="0" w:firstLine="640" w:firstLineChars="200"/>
        <w:jc w:val="both"/>
        <w:textAlignment w:val="baseline"/>
      </w:pPr>
      <w:r>
        <w:rPr>
          <w:rStyle w:val="5"/>
          <w:rFonts w:ascii="仿宋_GB2312" w:hAnsi="仿宋_GB2312" w:eastAsia="仿宋_GB2312"/>
          <w:b w:val="0"/>
          <w:bCs w:val="0"/>
          <w:i w:val="0"/>
          <w:caps w:val="0"/>
          <w:color w:val="000000"/>
          <w:spacing w:val="0"/>
          <w:w w:val="100"/>
          <w:kern w:val="2"/>
          <w:sz w:val="32"/>
          <w:szCs w:val="32"/>
          <w:lang w:val="en-US" w:eastAsia="zh-CN" w:bidi="ar-SA"/>
        </w:rPr>
        <w:t>太原市公安局小店分局梅山派出所以习近平总书记法治思想为指导，扎实开展各项工作，切实增强“四个意识”，坚定“四个自信”，做到“两个维护”。2021年及时妥善处置省政府门前非正常上访765批次，安全疏导分流非访人员3282人次，同时与太原市公安局处置专班、分局巡警大队、公管中心、坞城派出所建立联防联动工作机制，在省政府周边实行常态化动中备勤，严厉打击信访活动中的违法犯罪行为，维护法律权威，确保省政府门前信访秩序持续平稳，也为社会大局稳定做出了突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DejaVu Sans Mono"/>
    <w:panose1 w:val="020B0603030804020204"/>
    <w:charset w:val="00"/>
    <w:family w:val="auto"/>
    <w:pitch w:val="default"/>
    <w:sig w:usb0="00000000" w:usb1="00000000"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DejaVu Sans Mono">
    <w:panose1 w:val="020B0609030804020204"/>
    <w:charset w:val="00"/>
    <w:family w:val="auto"/>
    <w:pitch w:val="default"/>
    <w:sig w:usb0="E60026FF" w:usb1="D200F9FB" w:usb2="02000028" w:usb3="00000000" w:csb0="600001DF" w:csb1="DFD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37284"/>
    <w:rsid w:val="08C3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2">
    <w:name w:val="UserStyle_0"/>
    <w:link w:val="1"/>
    <w:semiHidden/>
    <w:qFormat/>
    <w:uiPriority w:val="0"/>
    <w:rPr>
      <w:rFonts w:ascii="Calibri" w:hAnsi="Calibri" w:eastAsia="宋体" w:cstheme="minorBidi"/>
      <w:kern w:val="2"/>
      <w:sz w:val="21"/>
      <w:szCs w:val="24"/>
      <w:lang w:val="en-US" w:eastAsia="zh-CN" w:bidi="ar-SA"/>
    </w:rPr>
  </w:style>
  <w:style w:type="character" w:customStyle="1" w:styleId="5">
    <w:name w:val="NormalCharacter"/>
    <w:link w:val="1"/>
    <w:semiHidden/>
    <w:qFormat/>
    <w:uiPriority w:val="0"/>
  </w:style>
  <w:style w:type="paragraph" w:customStyle="1" w:styleId="6">
    <w:name w:val="Heading3"/>
    <w:basedOn w:val="1"/>
    <w:next w:val="1"/>
    <w:qFormat/>
    <w:uiPriority w:val="0"/>
    <w:pPr>
      <w:spacing w:before="100" w:beforeAutospacing="1" w:after="100" w:afterAutospacing="1"/>
      <w:jc w:val="left"/>
      <w:textAlignment w:val="baseline"/>
    </w:pPr>
    <w:rPr>
      <w:rFonts w:ascii="宋体" w:hAnsi="宋体" w:eastAsia="宋体"/>
      <w:b/>
      <w:kern w:val="0"/>
      <w:sz w:val="27"/>
      <w:szCs w:val="27"/>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2022-08-07T05:42:00Z</dcterms:created>
  <dc:creator>89193</dc:creator>
  <cp:lastModifiedBy>89193</cp:lastModifiedBy>
  <dcterms:modified xsi:type="dcterms:W3CDTF">2022-08-07T05:44:49Z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